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10" w:rsidRDefault="007F70FD">
      <w:pPr>
        <w:pStyle w:val="a3"/>
        <w:ind w:firstLine="709"/>
        <w:jc w:val="right"/>
        <w:rPr>
          <w:kern w:val="2"/>
          <w:sz w:val="20"/>
          <w:szCs w:val="20"/>
          <w:lang w:val="ru-RU"/>
        </w:rPr>
      </w:pPr>
      <w:r>
        <w:rPr>
          <w:kern w:val="2"/>
          <w:sz w:val="20"/>
          <w:szCs w:val="20"/>
          <w:lang w:val="ru-RU"/>
        </w:rPr>
        <w:t xml:space="preserve">Приложение к письму </w:t>
      </w:r>
      <w:proofErr w:type="gramStart"/>
      <w:r>
        <w:rPr>
          <w:kern w:val="2"/>
          <w:sz w:val="20"/>
          <w:szCs w:val="20"/>
          <w:lang w:val="ru-RU"/>
        </w:rPr>
        <w:t>Межрайонной</w:t>
      </w:r>
      <w:proofErr w:type="gramEnd"/>
    </w:p>
    <w:p w:rsidR="00A47410" w:rsidRDefault="00E5356F">
      <w:pPr>
        <w:pStyle w:val="a3"/>
        <w:ind w:firstLine="709"/>
        <w:jc w:val="right"/>
        <w:rPr>
          <w:kern w:val="2"/>
          <w:sz w:val="20"/>
          <w:szCs w:val="20"/>
          <w:lang w:val="ru-RU"/>
        </w:rPr>
      </w:pPr>
      <w:r>
        <w:rPr>
          <w:kern w:val="2"/>
          <w:sz w:val="20"/>
          <w:szCs w:val="20"/>
          <w:lang w:val="ru-RU"/>
        </w:rPr>
        <w:t xml:space="preserve"> ИФНС России №27</w:t>
      </w:r>
      <w:bookmarkStart w:id="0" w:name="_GoBack"/>
      <w:bookmarkEnd w:id="0"/>
      <w:r w:rsidR="007F70FD">
        <w:rPr>
          <w:kern w:val="2"/>
          <w:sz w:val="20"/>
          <w:szCs w:val="20"/>
          <w:lang w:val="ru-RU"/>
        </w:rPr>
        <w:t xml:space="preserve"> по</w:t>
      </w:r>
    </w:p>
    <w:p w:rsidR="00A47410" w:rsidRDefault="007F70FD">
      <w:pPr>
        <w:pStyle w:val="a3"/>
        <w:ind w:firstLine="709"/>
        <w:jc w:val="right"/>
        <w:rPr>
          <w:kern w:val="2"/>
          <w:sz w:val="20"/>
          <w:szCs w:val="20"/>
          <w:lang w:val="ru-RU"/>
        </w:rPr>
      </w:pPr>
      <w:r>
        <w:rPr>
          <w:kern w:val="2"/>
          <w:sz w:val="20"/>
          <w:szCs w:val="20"/>
          <w:lang w:val="ru-RU"/>
        </w:rPr>
        <w:t xml:space="preserve"> Республике Башкортостан</w:t>
      </w:r>
    </w:p>
    <w:p w:rsidR="00A47410" w:rsidRDefault="00A47410">
      <w:pPr>
        <w:pStyle w:val="a3"/>
        <w:ind w:firstLine="709"/>
        <w:jc w:val="both"/>
        <w:rPr>
          <w:kern w:val="2"/>
          <w:sz w:val="26"/>
          <w:szCs w:val="26"/>
          <w:lang w:val="ru-RU"/>
        </w:rPr>
      </w:pPr>
    </w:p>
    <w:p w:rsidR="00A47410" w:rsidRDefault="007F70FD">
      <w:pPr>
        <w:pStyle w:val="a3"/>
        <w:ind w:firstLine="709"/>
        <w:jc w:val="center"/>
        <w:rPr>
          <w:kern w:val="2"/>
          <w:sz w:val="26"/>
          <w:szCs w:val="26"/>
          <w:lang w:val="ru-RU"/>
        </w:rPr>
      </w:pPr>
      <w:r>
        <w:rPr>
          <w:kern w:val="2"/>
          <w:sz w:val="26"/>
          <w:szCs w:val="26"/>
          <w:lang w:val="ru-RU"/>
        </w:rPr>
        <w:t>Перечень государственных и иных услуг ФНС России,</w:t>
      </w:r>
    </w:p>
    <w:p w:rsidR="00A47410" w:rsidRDefault="007F70FD">
      <w:pPr>
        <w:pStyle w:val="a3"/>
        <w:ind w:firstLine="709"/>
        <w:jc w:val="center"/>
        <w:rPr>
          <w:kern w:val="2"/>
          <w:sz w:val="26"/>
          <w:szCs w:val="26"/>
          <w:lang w:val="ru-RU"/>
        </w:rPr>
      </w:pPr>
      <w:proofErr w:type="gramStart"/>
      <w:r>
        <w:rPr>
          <w:kern w:val="2"/>
          <w:sz w:val="26"/>
          <w:szCs w:val="26"/>
          <w:lang w:val="ru-RU"/>
        </w:rPr>
        <w:t>предоставление</w:t>
      </w:r>
      <w:proofErr w:type="gramEnd"/>
      <w:r>
        <w:rPr>
          <w:kern w:val="2"/>
          <w:sz w:val="26"/>
          <w:szCs w:val="26"/>
          <w:lang w:val="ru-RU"/>
        </w:rPr>
        <w:t xml:space="preserve"> которых организуется по принципу «одного окна»</w:t>
      </w:r>
    </w:p>
    <w:p w:rsidR="00A47410" w:rsidRDefault="007F70FD">
      <w:pPr>
        <w:pStyle w:val="a3"/>
        <w:ind w:firstLine="709"/>
        <w:jc w:val="center"/>
        <w:rPr>
          <w:kern w:val="2"/>
          <w:sz w:val="26"/>
          <w:szCs w:val="26"/>
          <w:lang w:val="ru-RU"/>
        </w:rPr>
      </w:pPr>
      <w:r>
        <w:rPr>
          <w:kern w:val="2"/>
          <w:sz w:val="26"/>
          <w:szCs w:val="26"/>
          <w:lang w:val="ru-RU"/>
        </w:rPr>
        <w:t>в РГАУ МФЦ</w:t>
      </w:r>
    </w:p>
    <w:p w:rsidR="00A47410" w:rsidRDefault="00A47410">
      <w:pPr>
        <w:pStyle w:val="a3"/>
        <w:ind w:firstLine="709"/>
        <w:jc w:val="center"/>
        <w:rPr>
          <w:kern w:val="2"/>
          <w:sz w:val="26"/>
          <w:szCs w:val="26"/>
          <w:lang w:val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A47410">
        <w:tc>
          <w:tcPr>
            <w:tcW w:w="959" w:type="dxa"/>
          </w:tcPr>
          <w:p w:rsidR="00A47410" w:rsidRDefault="007F70FD">
            <w:pPr>
              <w:pStyle w:val="a3"/>
              <w:jc w:val="center"/>
              <w:rPr>
                <w:rFonts w:eastAsiaTheme="minorHAns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szCs w:val="24"/>
                <w:lang w:val="ru-RU" w:eastAsia="en-US"/>
              </w:rPr>
              <w:t xml:space="preserve">№ </w:t>
            </w:r>
            <w:proofErr w:type="gramStart"/>
            <w:r>
              <w:rPr>
                <w:rFonts w:eastAsiaTheme="minorHAnsi"/>
                <w:kern w:val="0"/>
                <w:sz w:val="24"/>
                <w:szCs w:val="24"/>
                <w:lang w:val="ru-RU" w:eastAsia="en-US"/>
              </w:rPr>
              <w:t>п</w:t>
            </w:r>
            <w:proofErr w:type="gramEnd"/>
            <w:r>
              <w:rPr>
                <w:rFonts w:eastAsiaTheme="minorHAnsi"/>
                <w:kern w:val="0"/>
                <w:sz w:val="24"/>
                <w:szCs w:val="24"/>
                <w:lang w:val="ru-RU" w:eastAsia="en-US"/>
              </w:rPr>
              <w:t>/п</w:t>
            </w:r>
          </w:p>
        </w:tc>
        <w:tc>
          <w:tcPr>
            <w:tcW w:w="8647" w:type="dxa"/>
          </w:tcPr>
          <w:p w:rsidR="00A47410" w:rsidRDefault="007F70FD">
            <w:pPr>
              <w:pStyle w:val="a3"/>
              <w:jc w:val="center"/>
              <w:rPr>
                <w:rFonts w:eastAsiaTheme="minorHAnsi"/>
                <w:b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kern w:val="0"/>
                <w:sz w:val="24"/>
                <w:szCs w:val="24"/>
                <w:lang w:val="ru-RU" w:eastAsia="en-US"/>
              </w:rPr>
              <w:t>Наименование услуги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Государственная 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регистрация юридических лиц, физических лиц в качестве</w:t>
            </w:r>
          </w:p>
          <w:p w:rsidR="00A47410" w:rsidRDefault="007F70FD">
            <w:pPr>
              <w:pStyle w:val="a3"/>
              <w:rPr>
                <w:kern w:val="2"/>
                <w:sz w:val="26"/>
                <w:szCs w:val="26"/>
                <w:lang w:val="ru-RU"/>
              </w:rPr>
            </w:pPr>
            <w:r>
              <w:rPr>
                <w:kern w:val="2"/>
                <w:sz w:val="26"/>
                <w:szCs w:val="26"/>
                <w:lang w:val="ru-RU"/>
              </w:rPr>
              <w:t>индивидуальных предпринимателей и крестьянских (фермерских) хозяйств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Бесплатное информирование (в том числе в письменной форме) налогоплательщиков, плательщиков сборов и налоговых агентов о 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 налогоплательщиков, плательщиков сборов 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и налоговых агентов, полномочиях налоговых органов и их должностных лиц</w:t>
            </w:r>
            <w:proofErr w:type="gramEnd"/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Прием запроса о предоставлении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ка, плательщика сбора, плательщика страховых взносов или налогового агента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Прием запроса о предоставлении акта сверки принадлежности сумм денежных средств, перечисленных и (или) признаваемых в качестве единого налогового платежа, либо сумм денежных средс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тв, перечисленных не в качестве единого налогового платежа и формата его представления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Прием заявления физического лица о предоставлении налоговой льготы </w:t>
            </w:r>
            <w:proofErr w:type="gramStart"/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по</w:t>
            </w:r>
            <w:proofErr w:type="gramEnd"/>
          </w:p>
          <w:p w:rsidR="00A47410" w:rsidRDefault="007F70FD">
            <w:pPr>
              <w:pStyle w:val="a3"/>
              <w:rPr>
                <w:kern w:val="2"/>
                <w:sz w:val="26"/>
                <w:szCs w:val="26"/>
                <w:lang w:val="ru-RU"/>
              </w:rPr>
            </w:pPr>
            <w:r>
              <w:rPr>
                <w:kern w:val="2"/>
                <w:sz w:val="26"/>
                <w:szCs w:val="26"/>
                <w:lang w:val="ru-RU"/>
              </w:rPr>
              <w:t>транспортному налогу, земельному налогу, налогу на имущество физических лиц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Прием уведомления о выбранных объектах налогообложения, в отношении которых предоставляется налоговая льгота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 по налогу на имущество физических лиц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Прием сообщения о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Прием от 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налогоплательщиков, являющихся физическими лицами, налоговых деклараций по налогу на доходы физических лиц (форма 3-НДФЛ) на бумажном носителе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Прием заявления о доступе к личному кабинету налогоплательщика для физических лиц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Прием заявлений о возврате 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(зачете) суммы излишне уплаченного (взысканного, подлежащего возмещению) налога (сбора, страховых взносов, пеней, штрафа) от физических лиц</w:t>
            </w:r>
            <w:proofErr w:type="gramEnd"/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Приём уведомления о выбранном земельном участке, в отношении которого применяется налоговый вычет по земельному на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логу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pStyle w:val="a3"/>
              <w:rPr>
                <w:kern w:val="2"/>
                <w:sz w:val="26"/>
                <w:szCs w:val="26"/>
                <w:lang w:val="ru-RU"/>
              </w:rPr>
            </w:pPr>
            <w:r>
              <w:rPr>
                <w:kern w:val="2"/>
                <w:sz w:val="26"/>
                <w:szCs w:val="26"/>
                <w:lang w:val="ru-RU"/>
              </w:rPr>
              <w:t>Приём заявления о выдаче налогового уведомления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Прием заявления о гибели или уничтожении объекта налогообложения по налогу на имущество физических лиц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Предоставление заинтересованным лицам сведений, содержащихся в реестре дисквалифицированных 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лиц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 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Предоставление сведе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выписок, содержащих сведения ограниченного доступа) 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 налогоплательщиков, плательщиков сборов, плательщи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ков страховых взносов и налоговых</w:t>
            </w:r>
            <w:proofErr w:type="gramEnd"/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уплате налогов, сборов, страховых взносов, пеней, штрафов, процентов)</w:t>
            </w:r>
            <w:proofErr w:type="gramEnd"/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pStyle w:val="a3"/>
              <w:rPr>
                <w:kern w:val="2"/>
                <w:sz w:val="26"/>
                <w:szCs w:val="26"/>
                <w:lang w:val="ru-RU"/>
              </w:rPr>
            </w:pPr>
            <w:r>
              <w:rPr>
                <w:kern w:val="2"/>
                <w:sz w:val="26"/>
                <w:szCs w:val="26"/>
                <w:lang w:val="ru-RU"/>
              </w:rPr>
              <w:t>Предоставление сведений, содержащихся в государственном адресном реестре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Прием заявлений и выдача платежных документов на уплату всей имеющейся у</w:t>
            </w:r>
          </w:p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физического лица налоговой задолженн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ости, в том числе возникшей </w:t>
            </w:r>
            <w:proofErr w:type="gramStart"/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от</w:t>
            </w:r>
            <w:proofErr w:type="gramEnd"/>
          </w:p>
          <w:p w:rsidR="00A47410" w:rsidRDefault="007F70FD">
            <w:pPr>
              <w:pStyle w:val="a3"/>
              <w:rPr>
                <w:kern w:val="2"/>
                <w:sz w:val="26"/>
                <w:szCs w:val="26"/>
                <w:lang w:val="ru-RU"/>
              </w:rPr>
            </w:pPr>
            <w:r>
              <w:rPr>
                <w:kern w:val="2"/>
                <w:sz w:val="26"/>
                <w:szCs w:val="26"/>
                <w:lang w:val="ru-RU"/>
              </w:rPr>
              <w:t>предпринимательской деятельности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Прием заявления о гибели или уничтожении объекта налогообложения по транспортному налогу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Прием заявления о предоставлении налогоплательщиком-индивидуальным</w:t>
            </w:r>
          </w:p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предпринимателем, нотариусом, 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занимающимся частной практикой, адвокатом,</w:t>
            </w:r>
          </w:p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учредившим адвокатский кабинет, физическим лицом, не являющимся  индивидуальным предпринимателем, налоговому органу адреса для направления по почте документов, которые используются налоговыми органами при реализац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ии своих полномочий в отношениях, регулируемых законодательством о налогах и сборах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Прием запроса о предоставлении государственной услуги по предоставлению</w:t>
            </w:r>
          </w:p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информации, содержащейся в государственном информационном ресурсе бухгалтерской (финансовой) отчет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ности, предоставляемой в форме абонентского обслуживания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Прием заявления о прекращении исчисления транспортного налога в связи </w:t>
            </w:r>
            <w:proofErr w:type="gramStart"/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с</w:t>
            </w:r>
            <w:proofErr w:type="gramEnd"/>
          </w:p>
          <w:p w:rsidR="00A47410" w:rsidRDefault="007F70FD">
            <w:pPr>
              <w:pStyle w:val="a3"/>
              <w:rPr>
                <w:kern w:val="2"/>
                <w:sz w:val="26"/>
                <w:szCs w:val="26"/>
                <w:lang w:val="ru-RU"/>
              </w:rPr>
            </w:pPr>
            <w:r>
              <w:rPr>
                <w:kern w:val="2"/>
                <w:sz w:val="26"/>
                <w:szCs w:val="26"/>
                <w:lang w:val="ru-RU"/>
              </w:rPr>
              <w:t>принудительным изъятием транспортного средства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Прием запроса о предоставлении справки о принадлежности сумм денежных средст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в, перечисленных в качестве единого налогового платежа21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Прием заявления на применение патентной системы налогообложения индивидуальным предпринимателем</w:t>
            </w:r>
          </w:p>
        </w:tc>
      </w:tr>
      <w:tr w:rsidR="00A47410">
        <w:tc>
          <w:tcPr>
            <w:tcW w:w="959" w:type="dxa"/>
          </w:tcPr>
          <w:p w:rsidR="00A47410" w:rsidRDefault="00A47410">
            <w:pPr>
              <w:pStyle w:val="a3"/>
              <w:numPr>
                <w:ilvl w:val="0"/>
                <w:numId w:val="1"/>
              </w:numPr>
              <w:jc w:val="center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8647" w:type="dxa"/>
          </w:tcPr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Прием согласия налогоплательщика, плательщика сбора, плательщика </w:t>
            </w:r>
            <w:proofErr w:type="gramStart"/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страховых</w:t>
            </w:r>
            <w:proofErr w:type="gramEnd"/>
          </w:p>
          <w:p w:rsidR="00A47410" w:rsidRDefault="007F7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 xml:space="preserve">взносов, налогового 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ar-SA"/>
              </w:rPr>
              <w:t>агента на информирование о наличии недоимки и (или)</w:t>
            </w:r>
          </w:p>
          <w:p w:rsidR="00A47410" w:rsidRDefault="007F70FD">
            <w:pPr>
              <w:pStyle w:val="a3"/>
              <w:rPr>
                <w:kern w:val="2"/>
                <w:sz w:val="26"/>
                <w:szCs w:val="26"/>
                <w:lang w:val="ru-RU"/>
              </w:rPr>
            </w:pPr>
            <w:r>
              <w:rPr>
                <w:kern w:val="2"/>
                <w:sz w:val="26"/>
                <w:szCs w:val="26"/>
                <w:lang w:val="ru-RU"/>
              </w:rPr>
              <w:t>задолженности по пеням, штрафам, процентам</w:t>
            </w:r>
          </w:p>
        </w:tc>
      </w:tr>
    </w:tbl>
    <w:p w:rsidR="00A47410" w:rsidRDefault="00A47410">
      <w:pPr>
        <w:pStyle w:val="a3"/>
        <w:ind w:firstLine="709"/>
        <w:jc w:val="center"/>
        <w:rPr>
          <w:kern w:val="2"/>
          <w:sz w:val="26"/>
          <w:szCs w:val="26"/>
          <w:lang w:val="ru-RU"/>
        </w:rPr>
      </w:pPr>
    </w:p>
    <w:sectPr w:rsidR="00A4741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FD" w:rsidRDefault="007F70FD">
      <w:pPr>
        <w:spacing w:after="0" w:line="240" w:lineRule="auto"/>
      </w:pPr>
      <w:r>
        <w:separator/>
      </w:r>
    </w:p>
  </w:endnote>
  <w:endnote w:type="continuationSeparator" w:id="0">
    <w:p w:rsidR="007F70FD" w:rsidRDefault="007F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FD" w:rsidRDefault="007F70FD">
      <w:pPr>
        <w:spacing w:after="0" w:line="240" w:lineRule="auto"/>
      </w:pPr>
      <w:r>
        <w:separator/>
      </w:r>
    </w:p>
  </w:footnote>
  <w:footnote w:type="continuationSeparator" w:id="0">
    <w:p w:rsidR="007F70FD" w:rsidRDefault="007F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838231"/>
      <w:docPartObj>
        <w:docPartGallery w:val="Page Numbers (Top of Page)"/>
        <w:docPartUnique/>
      </w:docPartObj>
    </w:sdtPr>
    <w:sdtEndPr/>
    <w:sdtContent>
      <w:p w:rsidR="00A47410" w:rsidRDefault="007F70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56F">
          <w:rPr>
            <w:noProof/>
          </w:rPr>
          <w:t>3</w:t>
        </w:r>
        <w:r>
          <w:fldChar w:fldCharType="end"/>
        </w:r>
      </w:p>
    </w:sdtContent>
  </w:sdt>
  <w:p w:rsidR="00A47410" w:rsidRDefault="00A474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967E1"/>
    <w:multiLevelType w:val="hybridMultilevel"/>
    <w:tmpl w:val="F45C16C6"/>
    <w:lvl w:ilvl="0" w:tplc="40D475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10"/>
    <w:rsid w:val="007F70FD"/>
    <w:rsid w:val="00A47410"/>
    <w:rsid w:val="00E5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"/>
    <w:link w:val="a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8"/>
      <w:szCs w:val="28"/>
      <w:lang w:val="en-US" w:eastAsia="ar-SA"/>
    </w:rPr>
  </w:style>
  <w:style w:type="character" w:customStyle="1" w:styleId="a4">
    <w:name w:val="_ Знак"/>
    <w:link w:val="a3"/>
    <w:locked/>
    <w:rPr>
      <w:rFonts w:ascii="Times New Roman" w:eastAsia="Arial" w:hAnsi="Times New Roman" w:cs="Times New Roman"/>
      <w:kern w:val="1"/>
      <w:sz w:val="28"/>
      <w:szCs w:val="28"/>
      <w:lang w:val="en-US" w:eastAsia="ar-SA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"/>
    <w:link w:val="a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8"/>
      <w:szCs w:val="28"/>
      <w:lang w:val="en-US" w:eastAsia="ar-SA"/>
    </w:rPr>
  </w:style>
  <w:style w:type="character" w:customStyle="1" w:styleId="a4">
    <w:name w:val="_ Знак"/>
    <w:link w:val="a3"/>
    <w:locked/>
    <w:rPr>
      <w:rFonts w:ascii="Times New Roman" w:eastAsia="Arial" w:hAnsi="Times New Roman" w:cs="Times New Roman"/>
      <w:kern w:val="1"/>
      <w:sz w:val="28"/>
      <w:szCs w:val="28"/>
      <w:lang w:val="en-US" w:eastAsia="ar-SA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Гузель Зинаровна</dc:creator>
  <cp:lastModifiedBy>Файзуллин Азамат Махиянович</cp:lastModifiedBy>
  <cp:revision>2</cp:revision>
  <dcterms:created xsi:type="dcterms:W3CDTF">2023-12-19T05:58:00Z</dcterms:created>
  <dcterms:modified xsi:type="dcterms:W3CDTF">2023-12-22T10:35:00Z</dcterms:modified>
</cp:coreProperties>
</file>